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3D4D" w14:textId="55B6BF6E" w:rsidR="009B478C" w:rsidRDefault="00FA5C22" w:rsidP="009B478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SCALA CON GABBIA 81/08</w:t>
      </w:r>
    </w:p>
    <w:p w14:paraId="21487523" w14:textId="77777777" w:rsidR="009B478C" w:rsidRPr="00E87B76" w:rsidRDefault="009B478C" w:rsidP="009B478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7ED72F69" w:rsidR="009B478C" w:rsidRPr="00FA5C22" w:rsidRDefault="00FA5C22" w:rsidP="00165D64">
            <w:pPr>
              <w:rPr>
                <w:rFonts w:ascii="Calibri" w:hAnsi="Calibri" w:cs="Calibri"/>
              </w:rPr>
            </w:pPr>
            <w:r w:rsidRPr="00FA5C22">
              <w:rPr>
                <w:rFonts w:ascii="Calibri" w:hAnsi="Calibri" w:cs="Calibri"/>
              </w:rPr>
              <w:t>Scala con gabbia di protezione in alluminio conforme al D.lgs. 81/2008</w:t>
            </w:r>
          </w:p>
        </w:tc>
      </w:tr>
    </w:tbl>
    <w:p w14:paraId="4366E624" w14:textId="72A9B8E0" w:rsidR="00FA5C22" w:rsidRDefault="00FA5C22" w:rsidP="00FA5C22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scala a pioli di tipo fisso dotata di gabbia di protezione con inclinazione superiore a 75°. La scala è realizzata con montanti e pioli in profili estrusi di alluminio personalizzati REGO forniti già assemblati in moduli componibili. Gabbia di protezione costituita da anelli in piatto di alluminio e da profili estrusi verticali da assemblare in opera mediante la bulloneria inox in dotazione. Sistema completo di innesti e bulloneria per collegamento dei moduli in serie e delle staffe standard di ancoraggio al supporto (parete o struttura). La scala consente il superamento del dislivello e la struttura di protezione prosegue per 1100 mm oltre il piano di sbarco, la geometria della scala rispetta le prescrizioni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81/2008 e </w:t>
      </w:r>
      <w:proofErr w:type="spellStart"/>
      <w:proofErr w:type="gram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>.</w:t>
      </w:r>
      <w:proofErr w:type="gramEnd"/>
    </w:p>
    <w:p w14:paraId="5D97BB75" w14:textId="77777777" w:rsidR="00FA5C22" w:rsidRDefault="00FA5C22" w:rsidP="00FA5C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- Scala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400350 … 400405].</w:t>
      </w:r>
    </w:p>
    <w:p w14:paraId="20FF632E" w14:textId="77777777" w:rsidR="00FA5C22" w:rsidRPr="003E3DC1" w:rsidRDefault="00FA5C22" w:rsidP="00FA5C22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08C8FDD" w14:textId="77777777" w:rsidR="00FA5C22" w:rsidRDefault="00FA5C22" w:rsidP="00FA5C22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di carpenterie in acciaio</w:t>
      </w:r>
      <w:r>
        <w:rPr>
          <w:rFonts w:ascii="Calibri" w:hAnsi="Calibri" w:cs="Calibri"/>
        </w:rPr>
        <w:t xml:space="preserve"> o alluminio</w:t>
      </w:r>
      <w:r w:rsidRPr="003E3DC1">
        <w:rPr>
          <w:rFonts w:ascii="Calibri" w:hAnsi="Calibri" w:cs="Calibri"/>
        </w:rPr>
        <w:t xml:space="preserve"> specifiche </w:t>
      </w:r>
      <w:r>
        <w:rPr>
          <w:rFonts w:ascii="Calibri" w:hAnsi="Calibri" w:cs="Calibri"/>
        </w:rPr>
        <w:t xml:space="preserve">per il </w:t>
      </w:r>
      <w:r w:rsidRPr="003E3DC1">
        <w:rPr>
          <w:rFonts w:ascii="Calibri" w:hAnsi="Calibri" w:cs="Calibri"/>
        </w:rPr>
        <w:t>fissaggio</w:t>
      </w:r>
      <w:r>
        <w:rPr>
          <w:rFonts w:ascii="Calibri" w:hAnsi="Calibri" w:cs="Calibri"/>
        </w:rPr>
        <w:t>;</w:t>
      </w:r>
    </w:p>
    <w:p w14:paraId="2B77D4F2" w14:textId="77777777" w:rsidR="00FA5C22" w:rsidRDefault="00FA5C22" w:rsidP="00FA5C22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staffe di fissaggio maggiorate o tralicciate (accessorio);</w:t>
      </w:r>
    </w:p>
    <w:p w14:paraId="2F312294" w14:textId="7CB95208" w:rsidR="00FA5C22" w:rsidRPr="003E3DC1" w:rsidRDefault="00FA5C22" w:rsidP="00FA5C22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accessori per scale;</w:t>
      </w:r>
    </w:p>
    <w:p w14:paraId="7A181252" w14:textId="0B0864DE" w:rsidR="009B478C" w:rsidRPr="00344436" w:rsidRDefault="00FA5C22" w:rsidP="00344436">
      <w:pPr>
        <w:jc w:val="both"/>
        <w:rPr>
          <w:rFonts w:ascii="Calibri" w:hAnsi="Calibri" w:cs="Calibri"/>
        </w:rPr>
      </w:pPr>
      <w:r w:rsidRPr="00344436">
        <w:rPr>
          <w:rFonts w:ascii="Calibri" w:hAnsi="Calibri" w:cs="Calibri"/>
          <w:i/>
          <w:iCs/>
        </w:rPr>
        <w:t>Specifica voce: altezza dal piano di partenza al piano di sbarco.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9B478C" w:rsidRPr="003E3DC1" w14:paraId="5628732B" w14:textId="77777777" w:rsidTr="00165D64">
        <w:tc>
          <w:tcPr>
            <w:tcW w:w="3085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42F89993" w14:textId="5CA6D55C" w:rsidR="009B478C" w:rsidRPr="00FA5C22" w:rsidRDefault="00FA5C22" w:rsidP="00165D64">
            <w:pPr>
              <w:rPr>
                <w:rFonts w:ascii="Calibri" w:hAnsi="Calibri" w:cs="Calibri"/>
              </w:rPr>
            </w:pPr>
            <w:r w:rsidRPr="00FA5C22">
              <w:rPr>
                <w:rFonts w:ascii="Calibri" w:hAnsi="Calibri" w:cs="Calibri"/>
              </w:rPr>
              <w:t>Scala con gabbia di protezione in alluminio conforme al D.lgs. 81/2008</w:t>
            </w:r>
          </w:p>
        </w:tc>
      </w:tr>
    </w:tbl>
    <w:p w14:paraId="05565F3F" w14:textId="77777777" w:rsidR="00FA5C22" w:rsidRDefault="00FA5C22" w:rsidP="00FA5C22">
      <w:pPr>
        <w:widowControl w:val="0"/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e posa in opera (installazione) di</w:t>
      </w:r>
      <w:r>
        <w:rPr>
          <w:rFonts w:ascii="Calibri" w:hAnsi="Calibri" w:cs="Calibri"/>
        </w:rPr>
        <w:t xml:space="preserve"> scala a pioli di tipo fisso dotata di gabbia di protezione con inclinazione superiore a 75°. La scala è realizzata con montanti e pioli in profili estrusi di alluminio personalizzati REGO forniti già assemblati in moduli componibili. Gabbia di protezione costituita da anelli in piatto di alluminio e da profili estrusi verticali da assemblare in opera mediante la bulloneria inox in dotazione. Sistema completo di innesti e bulloneria per collegamento dei moduli in serie e delle staffe standard di ancoraggio al supporto (parete o struttura). La scala consente il superamento del dislivello e la struttura di protezione prosegue per 1100 mm oltre il piano di sbarco, la geometria della scala rispetta le prescrizioni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81/2008 e </w:t>
      </w:r>
      <w:proofErr w:type="spellStart"/>
      <w:r>
        <w:rPr>
          <w:rFonts w:ascii="Calibri" w:hAnsi="Calibri" w:cs="Calibri"/>
        </w:rPr>
        <w:t>s.m.i.</w:t>
      </w:r>
      <w:proofErr w:type="spellEnd"/>
    </w:p>
    <w:p w14:paraId="5D90B91E" w14:textId="77777777" w:rsidR="00FA5C22" w:rsidRDefault="00FA5C22" w:rsidP="00FA5C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- Scala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400350 … 400405].</w:t>
      </w:r>
    </w:p>
    <w:p w14:paraId="141AADCF" w14:textId="77777777" w:rsidR="00FA5C22" w:rsidRPr="003E3DC1" w:rsidRDefault="00FA5C22" w:rsidP="00FA5C22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fornitura e posa di viti o tasselli per il fissaggio e quanto necessario a dare il lavoro finito, compreso rilascio di Dichiarazione di corretta installazione.</w:t>
      </w:r>
    </w:p>
    <w:p w14:paraId="5E8AA5FB" w14:textId="77777777" w:rsidR="00FA5C22" w:rsidRPr="006F7730" w:rsidRDefault="00FA5C22" w:rsidP="00FA5C22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80E687A" w14:textId="77777777" w:rsidR="00FA5C22" w:rsidRPr="003E3DC1" w:rsidRDefault="00FA5C22" w:rsidP="00344436">
      <w:pPr>
        <w:pStyle w:val="Paragrafoelenco"/>
        <w:widowControl w:val="0"/>
        <w:numPr>
          <w:ilvl w:val="0"/>
          <w:numId w:val="15"/>
        </w:num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la predisposizione della Relazione di calcolo del fissaggio </w:t>
      </w:r>
      <w:r>
        <w:rPr>
          <w:rFonts w:ascii="Calibri" w:hAnsi="Calibri" w:cs="Calibri"/>
        </w:rPr>
        <w:t>(staffe)</w:t>
      </w:r>
      <w:r w:rsidRPr="003E3DC1">
        <w:rPr>
          <w:rFonts w:ascii="Calibri" w:hAnsi="Calibri" w:cs="Calibri"/>
        </w:rPr>
        <w:t xml:space="preserve"> a timbro e firma di tecnico abilitato.</w:t>
      </w:r>
    </w:p>
    <w:p w14:paraId="2BCABF14" w14:textId="77777777" w:rsidR="00FA5C22" w:rsidRDefault="00FA5C22" w:rsidP="00344436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</w:t>
      </w:r>
      <w:r>
        <w:rPr>
          <w:rFonts w:ascii="Calibri" w:hAnsi="Calibri" w:cs="Calibri"/>
        </w:rPr>
        <w:t xml:space="preserve">e posa </w:t>
      </w:r>
      <w:r w:rsidRPr="003E3DC1">
        <w:rPr>
          <w:rFonts w:ascii="Calibri" w:hAnsi="Calibri" w:cs="Calibri"/>
        </w:rPr>
        <w:t>di carpenterie in acciaio</w:t>
      </w:r>
      <w:r>
        <w:rPr>
          <w:rFonts w:ascii="Calibri" w:hAnsi="Calibri" w:cs="Calibri"/>
        </w:rPr>
        <w:t xml:space="preserve"> o alluminio</w:t>
      </w:r>
      <w:r w:rsidRPr="003E3DC1">
        <w:rPr>
          <w:rFonts w:ascii="Calibri" w:hAnsi="Calibri" w:cs="Calibri"/>
        </w:rPr>
        <w:t xml:space="preserve"> specifiche </w:t>
      </w:r>
      <w:r>
        <w:rPr>
          <w:rFonts w:ascii="Calibri" w:hAnsi="Calibri" w:cs="Calibri"/>
        </w:rPr>
        <w:t xml:space="preserve">per il </w:t>
      </w:r>
      <w:r w:rsidRPr="003E3DC1">
        <w:rPr>
          <w:rFonts w:ascii="Calibri" w:hAnsi="Calibri" w:cs="Calibri"/>
        </w:rPr>
        <w:t>fissaggio</w:t>
      </w:r>
      <w:r>
        <w:rPr>
          <w:rFonts w:ascii="Calibri" w:hAnsi="Calibri" w:cs="Calibri"/>
        </w:rPr>
        <w:t>;</w:t>
      </w:r>
    </w:p>
    <w:p w14:paraId="1C1122EE" w14:textId="77777777" w:rsidR="00FA5C22" w:rsidRDefault="00FA5C22" w:rsidP="00344436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fornitura staffe di fissaggio maggiorate o tralicciate (accessorio);</w:t>
      </w:r>
    </w:p>
    <w:p w14:paraId="5875D4EF" w14:textId="77777777" w:rsidR="00FA5C22" w:rsidRPr="003E3DC1" w:rsidRDefault="00FA5C22" w:rsidP="00344436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fornitura e montaggio accessori per scale.</w:t>
      </w:r>
    </w:p>
    <w:p w14:paraId="30A6DA9B" w14:textId="4C1DBDC5" w:rsidR="009B478C" w:rsidRDefault="00FA5C22" w:rsidP="009B478C">
      <w:pPr>
        <w:rPr>
          <w:rFonts w:ascii="Calibri" w:hAnsi="Calibri" w:cs="Calibri"/>
          <w:i/>
          <w:iCs/>
        </w:rPr>
      </w:pPr>
      <w:r w:rsidRPr="00DD2A86">
        <w:rPr>
          <w:rFonts w:ascii="Calibri" w:hAnsi="Calibri" w:cs="Calibri"/>
          <w:i/>
          <w:iCs/>
        </w:rPr>
        <w:t xml:space="preserve">Specifica voce: </w:t>
      </w:r>
      <w:r>
        <w:rPr>
          <w:rFonts w:ascii="Calibri" w:hAnsi="Calibri" w:cs="Calibri"/>
          <w:i/>
          <w:iCs/>
        </w:rPr>
        <w:t>altezza dal piano di partenza al piano di sbarco</w:t>
      </w:r>
      <w:r w:rsidRPr="00DD2A86">
        <w:rPr>
          <w:rFonts w:ascii="Calibri" w:hAnsi="Calibri" w:cs="Calibri"/>
          <w:i/>
          <w:iCs/>
        </w:rPr>
        <w:t>.</w:t>
      </w:r>
    </w:p>
    <w:p w14:paraId="3299BA91" w14:textId="77777777" w:rsidR="00FA5C22" w:rsidRDefault="00FA5C22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49CB1994" w:rsidR="005843B8" w:rsidRPr="00FA5C22" w:rsidRDefault="009B478C" w:rsidP="00FA5C2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lastRenderedPageBreak/>
        <w:t>L'uso di attrezzi manuali ed attrezzature elettriche semplici (trapano, avvitatore) per l'esecuzione dell'opera risulta compreso nelle spese generali dell'impresa.</w:t>
      </w:r>
    </w:p>
    <w:sectPr w:rsidR="005843B8" w:rsidRPr="00FA5C22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A4BA" w14:textId="77777777" w:rsidR="008B2E3A" w:rsidRDefault="008B2E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8B2E3A" w:rsidRPr="003E11BD" w14:paraId="76608D8E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0CC8BB50" w14:textId="77777777" w:rsidR="008B2E3A" w:rsidRDefault="008B2E3A" w:rsidP="008B2E3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0BC6A7B5" w14:textId="77777777" w:rsidR="008B2E3A" w:rsidRPr="00367A93" w:rsidRDefault="008B2E3A" w:rsidP="008B2E3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5F1C94B5" w14:textId="77777777" w:rsidR="008B2E3A" w:rsidRDefault="008B2E3A" w:rsidP="008B2E3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6681C84E" w14:textId="77777777" w:rsidR="008B2E3A" w:rsidRPr="003E11BD" w:rsidRDefault="008B2E3A" w:rsidP="008B2E3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1BEE4F66" w14:textId="77777777" w:rsidR="008B2E3A" w:rsidRPr="003E11BD" w:rsidRDefault="008B2E3A" w:rsidP="008B2E3A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2068C796" w14:textId="77777777" w:rsidR="008B2E3A" w:rsidRPr="003E11BD" w:rsidRDefault="008B2E3A" w:rsidP="008B2E3A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6EBD7C90" w14:textId="77777777" w:rsidR="008B2E3A" w:rsidRPr="003E11BD" w:rsidRDefault="008B2E3A" w:rsidP="008B2E3A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71237A7E" w14:textId="77777777" w:rsidR="008B2E3A" w:rsidRPr="009433A6" w:rsidRDefault="008B2E3A" w:rsidP="008B2E3A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791F21FD" wp14:editId="54E439F2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4039885A" wp14:editId="7A30A894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5FBE" w14:textId="77777777" w:rsidR="008B2E3A" w:rsidRDefault="008B2E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280" w14:textId="77777777" w:rsidR="008B2E3A" w:rsidRDefault="008B2E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9DE1" w14:textId="4EFCBCF2" w:rsidR="009116CC" w:rsidRDefault="008B2E3A">
    <w:pPr>
      <w:pStyle w:val="Intestazione"/>
    </w:pPr>
    <w:r>
      <w:rPr>
        <w:noProof/>
      </w:rPr>
      <w:drawing>
        <wp:inline distT="0" distB="0" distL="0" distR="0" wp14:anchorId="50E96927" wp14:editId="2573E3D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B56E" w14:textId="77777777" w:rsidR="008B2E3A" w:rsidRDefault="008B2E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476C"/>
    <w:multiLevelType w:val="hybridMultilevel"/>
    <w:tmpl w:val="8E528108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6718">
    <w:abstractNumId w:val="4"/>
  </w:num>
  <w:num w:numId="2" w16cid:durableId="1537234945">
    <w:abstractNumId w:val="1"/>
  </w:num>
  <w:num w:numId="3" w16cid:durableId="153113200">
    <w:abstractNumId w:val="6"/>
  </w:num>
  <w:num w:numId="4" w16cid:durableId="384987852">
    <w:abstractNumId w:val="10"/>
  </w:num>
  <w:num w:numId="5" w16cid:durableId="83189967">
    <w:abstractNumId w:val="0"/>
  </w:num>
  <w:num w:numId="6" w16cid:durableId="587734811">
    <w:abstractNumId w:val="9"/>
  </w:num>
  <w:num w:numId="7" w16cid:durableId="1088768372">
    <w:abstractNumId w:val="13"/>
  </w:num>
  <w:num w:numId="8" w16cid:durableId="452793647">
    <w:abstractNumId w:val="2"/>
  </w:num>
  <w:num w:numId="9" w16cid:durableId="551891371">
    <w:abstractNumId w:val="12"/>
  </w:num>
  <w:num w:numId="10" w16cid:durableId="708337753">
    <w:abstractNumId w:val="11"/>
  </w:num>
  <w:num w:numId="11" w16cid:durableId="1811242751">
    <w:abstractNumId w:val="5"/>
  </w:num>
  <w:num w:numId="12" w16cid:durableId="514000806">
    <w:abstractNumId w:val="14"/>
  </w:num>
  <w:num w:numId="13" w16cid:durableId="1332954937">
    <w:abstractNumId w:val="3"/>
  </w:num>
  <w:num w:numId="14" w16cid:durableId="401875501">
    <w:abstractNumId w:val="7"/>
  </w:num>
  <w:num w:numId="15" w16cid:durableId="162407605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4436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B2E3A"/>
    <w:rsid w:val="008C44AE"/>
    <w:rsid w:val="008E4B46"/>
    <w:rsid w:val="00902D87"/>
    <w:rsid w:val="009116CC"/>
    <w:rsid w:val="0092705B"/>
    <w:rsid w:val="00941130"/>
    <w:rsid w:val="00953EF0"/>
    <w:rsid w:val="00970E08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1A5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C22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B2E3A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22</cp:revision>
  <cp:lastPrinted>2020-06-09T08:51:00Z</cp:lastPrinted>
  <dcterms:created xsi:type="dcterms:W3CDTF">2020-06-09T08:56:00Z</dcterms:created>
  <dcterms:modified xsi:type="dcterms:W3CDTF">2025-03-13T15:53:00Z</dcterms:modified>
</cp:coreProperties>
</file>